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614E33" w14:textId="77777777" w:rsidR="003E7302" w:rsidRDefault="7ED2597A" w:rsidP="00F775F8">
      <w:pPr>
        <w:spacing w:after="0" w:line="276" w:lineRule="auto"/>
        <w:jc w:val="center"/>
        <w:rPr>
          <w:rFonts w:ascii="Calibri" w:eastAsia="Calibri" w:hAnsi="Calibri" w:cs="Calibri"/>
          <w:b/>
          <w:bCs/>
          <w:color w:val="242424"/>
          <w:sz w:val="28"/>
          <w:szCs w:val="28"/>
        </w:rPr>
      </w:pPr>
      <w:r>
        <w:br/>
      </w:r>
    </w:p>
    <w:p w14:paraId="742D07B0" w14:textId="5AD59927" w:rsidR="7ED2597A" w:rsidRPr="0068714D" w:rsidRDefault="7ED2597A" w:rsidP="0068714D">
      <w:pPr>
        <w:spacing w:after="0" w:line="240" w:lineRule="auto"/>
        <w:jc w:val="center"/>
        <w:rPr>
          <w:rFonts w:eastAsia="Calibri" w:cstheme="minorHAnsi"/>
          <w:color w:val="242424"/>
          <w:sz w:val="24"/>
          <w:szCs w:val="24"/>
        </w:rPr>
      </w:pPr>
      <w:r w:rsidRPr="0068714D">
        <w:rPr>
          <w:rFonts w:eastAsia="Calibri" w:cstheme="minorHAnsi"/>
          <w:b/>
          <w:bCs/>
          <w:color w:val="242424"/>
          <w:sz w:val="24"/>
          <w:szCs w:val="24"/>
        </w:rPr>
        <w:t>Comunicato stampa</w:t>
      </w:r>
    </w:p>
    <w:p w14:paraId="78DD85CA" w14:textId="77777777" w:rsidR="00F775F8" w:rsidRPr="0068714D" w:rsidRDefault="00F775F8" w:rsidP="0068714D">
      <w:pPr>
        <w:spacing w:after="0" w:line="240" w:lineRule="auto"/>
        <w:jc w:val="both"/>
        <w:rPr>
          <w:rFonts w:cstheme="minorHAnsi"/>
          <w:b/>
          <w:bCs/>
          <w:sz w:val="24"/>
          <w:szCs w:val="24"/>
        </w:rPr>
      </w:pPr>
    </w:p>
    <w:p w14:paraId="6F32F11E" w14:textId="77777777" w:rsidR="0068714D" w:rsidRPr="0068714D" w:rsidRDefault="0068714D" w:rsidP="0068714D">
      <w:pPr>
        <w:spacing w:after="0" w:line="240" w:lineRule="auto"/>
        <w:jc w:val="center"/>
        <w:rPr>
          <w:rFonts w:eastAsia="Aptos" w:cstheme="minorHAnsi"/>
          <w:b/>
          <w:bCs/>
          <w:color w:val="000000" w:themeColor="text1"/>
          <w:sz w:val="28"/>
          <w:szCs w:val="28"/>
        </w:rPr>
      </w:pPr>
      <w:r w:rsidRPr="0068714D">
        <w:rPr>
          <w:rFonts w:eastAsia="Aptos" w:cstheme="minorHAnsi"/>
          <w:b/>
          <w:bCs/>
          <w:color w:val="000000" w:themeColor="text1"/>
          <w:sz w:val="28"/>
          <w:szCs w:val="28"/>
        </w:rPr>
        <w:t>Assemblea generale Fieg: gli editori chiedono una nuova legge per l’editoria</w:t>
      </w:r>
    </w:p>
    <w:p w14:paraId="48BFEAB6" w14:textId="77777777" w:rsidR="0068714D" w:rsidRDefault="0068714D" w:rsidP="0068714D">
      <w:pPr>
        <w:spacing w:after="0" w:line="240" w:lineRule="auto"/>
        <w:jc w:val="center"/>
        <w:rPr>
          <w:rFonts w:eastAsia="Aptos" w:cstheme="minorHAnsi"/>
          <w:i/>
          <w:iCs/>
          <w:color w:val="000000" w:themeColor="text1"/>
          <w:sz w:val="24"/>
          <w:szCs w:val="24"/>
        </w:rPr>
      </w:pPr>
    </w:p>
    <w:p w14:paraId="4182E697" w14:textId="2291A6FD" w:rsidR="0068714D" w:rsidRPr="0068714D" w:rsidRDefault="0068714D" w:rsidP="0068714D">
      <w:pPr>
        <w:spacing w:after="0" w:line="240" w:lineRule="auto"/>
        <w:jc w:val="center"/>
        <w:rPr>
          <w:rFonts w:eastAsia="Aptos" w:cstheme="minorHAnsi"/>
          <w:i/>
          <w:iCs/>
          <w:color w:val="000000" w:themeColor="text1"/>
          <w:sz w:val="24"/>
          <w:szCs w:val="24"/>
        </w:rPr>
      </w:pPr>
      <w:r w:rsidRPr="0068714D">
        <w:rPr>
          <w:rFonts w:eastAsia="Aptos" w:cstheme="minorHAnsi"/>
          <w:i/>
          <w:iCs/>
          <w:color w:val="000000" w:themeColor="text1"/>
          <w:sz w:val="24"/>
          <w:szCs w:val="24"/>
        </w:rPr>
        <w:t>Soddisfazione per l’autorizzazione UE delle misure del Fondo straordinario</w:t>
      </w:r>
    </w:p>
    <w:p w14:paraId="55D5138F" w14:textId="77777777" w:rsidR="0068714D" w:rsidRPr="0068714D" w:rsidRDefault="0068714D" w:rsidP="0068714D">
      <w:pPr>
        <w:spacing w:after="0" w:line="240" w:lineRule="auto"/>
        <w:jc w:val="both"/>
        <w:rPr>
          <w:rFonts w:eastAsia="Aptos" w:cstheme="minorHAnsi"/>
          <w:color w:val="000000" w:themeColor="text1"/>
          <w:sz w:val="24"/>
          <w:szCs w:val="24"/>
        </w:rPr>
      </w:pPr>
    </w:p>
    <w:p w14:paraId="52AFBB96" w14:textId="77777777" w:rsidR="0068714D" w:rsidRDefault="0068714D" w:rsidP="0068714D">
      <w:pPr>
        <w:spacing w:after="0" w:line="240" w:lineRule="auto"/>
        <w:jc w:val="both"/>
        <w:rPr>
          <w:rFonts w:eastAsia="Aptos" w:cstheme="minorHAnsi"/>
          <w:color w:val="000000" w:themeColor="text1"/>
          <w:sz w:val="24"/>
          <w:szCs w:val="24"/>
        </w:rPr>
      </w:pPr>
    </w:p>
    <w:p w14:paraId="6A5C3395" w14:textId="3DEBCB68" w:rsidR="0068714D" w:rsidRPr="0068714D" w:rsidRDefault="0068714D" w:rsidP="0068714D">
      <w:pPr>
        <w:spacing w:after="0" w:line="240" w:lineRule="auto"/>
        <w:jc w:val="both"/>
        <w:rPr>
          <w:rFonts w:eastAsia="Aptos" w:cstheme="minorHAnsi"/>
          <w:color w:val="000000" w:themeColor="text1"/>
          <w:sz w:val="24"/>
          <w:szCs w:val="24"/>
        </w:rPr>
      </w:pPr>
      <w:r>
        <w:rPr>
          <w:rFonts w:eastAsia="Aptos" w:cstheme="minorHAnsi"/>
          <w:color w:val="000000" w:themeColor="text1"/>
          <w:sz w:val="24"/>
          <w:szCs w:val="24"/>
        </w:rPr>
        <w:t xml:space="preserve">Roma, 25 giugno 2024 </w:t>
      </w:r>
      <w:r w:rsidR="001A7466">
        <w:rPr>
          <w:rFonts w:eastAsia="Aptos" w:cstheme="minorHAnsi"/>
          <w:color w:val="000000" w:themeColor="text1"/>
          <w:sz w:val="24"/>
          <w:szCs w:val="24"/>
        </w:rPr>
        <w:t>-</w:t>
      </w:r>
      <w:r>
        <w:rPr>
          <w:rFonts w:eastAsia="Aptos" w:cstheme="minorHAnsi"/>
          <w:color w:val="000000" w:themeColor="text1"/>
          <w:sz w:val="24"/>
          <w:szCs w:val="24"/>
        </w:rPr>
        <w:t xml:space="preserve"> </w:t>
      </w:r>
      <w:r w:rsidRPr="0068714D">
        <w:rPr>
          <w:rFonts w:eastAsia="Aptos" w:cstheme="minorHAnsi"/>
          <w:color w:val="000000" w:themeColor="text1"/>
          <w:sz w:val="24"/>
          <w:szCs w:val="24"/>
        </w:rPr>
        <w:t>L’assemblea generale della Federazione italiana editori giornali, riunitasi oggi, esprime soddisfazione per l’autorizzazione da parte della Commissione europea del contributo per le copie cartacee vendute nel 2022 e del contributo per gli investimenti in tecnologie innovative effettuati nel corso del 2023.  Gli editori invitano il Governo ad una rapida emanazione dei provvedimenti attuativi in modo da erogare in tempi brevi le risorse stanziate a favore delle imprese del settore nel corso della precedente legislatura.</w:t>
      </w:r>
    </w:p>
    <w:p w14:paraId="6E33C4C6" w14:textId="77777777" w:rsidR="0068714D" w:rsidRPr="0068714D" w:rsidRDefault="0068714D" w:rsidP="0068714D">
      <w:pPr>
        <w:spacing w:after="0" w:line="240" w:lineRule="auto"/>
        <w:jc w:val="both"/>
        <w:rPr>
          <w:rFonts w:eastAsia="Aptos" w:cstheme="minorHAnsi"/>
          <w:color w:val="000000" w:themeColor="text1"/>
          <w:sz w:val="24"/>
          <w:szCs w:val="24"/>
        </w:rPr>
      </w:pPr>
    </w:p>
    <w:p w14:paraId="5310E47A" w14:textId="77777777" w:rsidR="0068714D" w:rsidRDefault="0068714D" w:rsidP="0068714D">
      <w:pPr>
        <w:spacing w:after="0" w:line="240" w:lineRule="auto"/>
        <w:jc w:val="both"/>
        <w:rPr>
          <w:rFonts w:eastAsia="Aptos" w:cstheme="minorHAnsi"/>
          <w:color w:val="000000" w:themeColor="text1"/>
          <w:sz w:val="24"/>
          <w:szCs w:val="24"/>
        </w:rPr>
      </w:pPr>
      <w:r w:rsidRPr="0068714D">
        <w:rPr>
          <w:rFonts w:eastAsia="Aptos" w:cstheme="minorHAnsi"/>
          <w:color w:val="000000" w:themeColor="text1"/>
          <w:sz w:val="24"/>
          <w:szCs w:val="24"/>
        </w:rPr>
        <w:t>Per gli editori della Fieg è poi necessario superare la logica degli interventi frammentati ed emanare al più presto una legge per l’editoria che:</w:t>
      </w:r>
    </w:p>
    <w:p w14:paraId="770E44AF" w14:textId="77777777" w:rsidR="0068714D" w:rsidRPr="0068714D" w:rsidRDefault="0068714D" w:rsidP="0068714D">
      <w:pPr>
        <w:spacing w:after="0" w:line="240" w:lineRule="auto"/>
        <w:jc w:val="both"/>
        <w:rPr>
          <w:rFonts w:eastAsia="Aptos" w:cstheme="minorHAnsi"/>
          <w:color w:val="000000" w:themeColor="text1"/>
          <w:sz w:val="24"/>
          <w:szCs w:val="24"/>
        </w:rPr>
      </w:pPr>
    </w:p>
    <w:p w14:paraId="4A1A0299" w14:textId="77777777" w:rsidR="0068714D" w:rsidRDefault="0068714D" w:rsidP="0068714D">
      <w:pPr>
        <w:pStyle w:val="Paragrafoelenco"/>
        <w:numPr>
          <w:ilvl w:val="0"/>
          <w:numId w:val="1"/>
        </w:numPr>
        <w:spacing w:after="0" w:line="240" w:lineRule="auto"/>
        <w:jc w:val="both"/>
        <w:rPr>
          <w:rFonts w:eastAsia="Aptos" w:cstheme="minorHAnsi"/>
          <w:color w:val="000000" w:themeColor="text1"/>
        </w:rPr>
      </w:pPr>
      <w:r w:rsidRPr="0068714D">
        <w:rPr>
          <w:rFonts w:eastAsia="Aptos" w:cstheme="minorHAnsi"/>
          <w:color w:val="000000" w:themeColor="text1"/>
        </w:rPr>
        <w:t>promuova l'informazione di qualità sostenendo le imprese editrici con contributi, almeno per cinque anni, in rapporto ai lettori e agli utenti unici e con il credito sull’acquisto della carta per il triennio 2024-2026;</w:t>
      </w:r>
    </w:p>
    <w:p w14:paraId="0086A4FB" w14:textId="77777777" w:rsidR="0068714D" w:rsidRPr="0068714D" w:rsidRDefault="0068714D" w:rsidP="0068714D">
      <w:pPr>
        <w:spacing w:after="0" w:line="240" w:lineRule="auto"/>
        <w:ind w:left="360"/>
        <w:jc w:val="both"/>
        <w:rPr>
          <w:rFonts w:eastAsia="Aptos" w:cstheme="minorHAnsi"/>
          <w:color w:val="000000" w:themeColor="text1"/>
        </w:rPr>
      </w:pPr>
    </w:p>
    <w:p w14:paraId="62E27F19" w14:textId="77777777" w:rsidR="0068714D" w:rsidRDefault="0068714D" w:rsidP="0068714D">
      <w:pPr>
        <w:pStyle w:val="Paragrafoelenco"/>
        <w:numPr>
          <w:ilvl w:val="0"/>
          <w:numId w:val="1"/>
        </w:numPr>
        <w:spacing w:after="0" w:line="240" w:lineRule="auto"/>
        <w:jc w:val="both"/>
        <w:rPr>
          <w:rFonts w:eastAsia="Aptos" w:cstheme="minorHAnsi"/>
          <w:color w:val="000000" w:themeColor="text1"/>
        </w:rPr>
      </w:pPr>
      <w:r w:rsidRPr="0068714D">
        <w:rPr>
          <w:rFonts w:eastAsia="Aptos" w:cstheme="minorHAnsi"/>
          <w:color w:val="000000" w:themeColor="text1"/>
        </w:rPr>
        <w:t>finanzi i necessari strumenti di risoluzione delle crisi occupazionali;</w:t>
      </w:r>
    </w:p>
    <w:p w14:paraId="1E2F7A91" w14:textId="77777777" w:rsidR="0068714D" w:rsidRPr="0068714D" w:rsidRDefault="0068714D" w:rsidP="0068714D">
      <w:pPr>
        <w:spacing w:after="0" w:line="240" w:lineRule="auto"/>
        <w:ind w:left="360"/>
        <w:jc w:val="both"/>
        <w:rPr>
          <w:rFonts w:eastAsia="Aptos" w:cstheme="minorHAnsi"/>
          <w:color w:val="000000" w:themeColor="text1"/>
        </w:rPr>
      </w:pPr>
    </w:p>
    <w:p w14:paraId="2632C1EB" w14:textId="77777777" w:rsidR="0068714D" w:rsidRDefault="0068714D" w:rsidP="0068714D">
      <w:pPr>
        <w:pStyle w:val="Paragrafoelenco"/>
        <w:numPr>
          <w:ilvl w:val="0"/>
          <w:numId w:val="1"/>
        </w:numPr>
        <w:spacing w:after="0" w:line="240" w:lineRule="auto"/>
        <w:jc w:val="both"/>
        <w:rPr>
          <w:rFonts w:eastAsia="Aptos" w:cstheme="minorHAnsi"/>
          <w:color w:val="000000" w:themeColor="text1"/>
        </w:rPr>
      </w:pPr>
      <w:r w:rsidRPr="0068714D">
        <w:rPr>
          <w:rFonts w:eastAsia="Aptos" w:cstheme="minorHAnsi"/>
          <w:color w:val="000000" w:themeColor="text1"/>
        </w:rPr>
        <w:t>preveda interventi efficaci nella distribuzione e vendita della stampa (agevolazioni fiscali per chi attiva nuovi punti vendita, contributi alle edicole per l’installazione e la gestione di distributori automatici di pubblicazioni editoriali nonché per la consegna a domicilio e l’attività di fornitura delle pubblicazioni ad altri esercizi commerciali, incentivi ai punti vendita dei piccoli comuni e delle aree periferiche, contributi alla rete di distribuzione per la consegna in zone decentrate);</w:t>
      </w:r>
    </w:p>
    <w:p w14:paraId="59E26299" w14:textId="77777777" w:rsidR="0068714D" w:rsidRPr="0068714D" w:rsidRDefault="0068714D" w:rsidP="0068714D">
      <w:pPr>
        <w:spacing w:after="0" w:line="240" w:lineRule="auto"/>
        <w:ind w:left="360"/>
        <w:jc w:val="both"/>
        <w:rPr>
          <w:rFonts w:eastAsia="Aptos" w:cstheme="minorHAnsi"/>
          <w:color w:val="000000" w:themeColor="text1"/>
        </w:rPr>
      </w:pPr>
    </w:p>
    <w:p w14:paraId="04461410" w14:textId="77777777" w:rsidR="0068714D" w:rsidRPr="0068714D" w:rsidRDefault="0068714D" w:rsidP="0068714D">
      <w:pPr>
        <w:pStyle w:val="Paragrafoelenco"/>
        <w:numPr>
          <w:ilvl w:val="0"/>
          <w:numId w:val="1"/>
        </w:numPr>
        <w:spacing w:after="0" w:line="240" w:lineRule="auto"/>
        <w:jc w:val="both"/>
        <w:rPr>
          <w:rFonts w:eastAsia="Aptos" w:cstheme="minorHAnsi"/>
          <w:color w:val="000000" w:themeColor="text1"/>
        </w:rPr>
      </w:pPr>
      <w:r w:rsidRPr="0068714D">
        <w:rPr>
          <w:rFonts w:eastAsia="Aptos" w:cstheme="minorHAnsi"/>
          <w:color w:val="000000" w:themeColor="text1"/>
        </w:rPr>
        <w:t>finanzi campagne istituzionali per assicurare la trasparenza delle amministrazioni pubbliche.</w:t>
      </w:r>
    </w:p>
    <w:p w14:paraId="0F7C6C6D" w14:textId="77777777" w:rsidR="0068714D" w:rsidRPr="0068714D" w:rsidRDefault="0068714D" w:rsidP="0068714D">
      <w:pPr>
        <w:spacing w:after="0" w:line="240" w:lineRule="auto"/>
        <w:jc w:val="both"/>
        <w:rPr>
          <w:rFonts w:eastAsia="Aptos" w:cstheme="minorHAnsi"/>
          <w:color w:val="000000" w:themeColor="text1"/>
          <w:sz w:val="24"/>
          <w:szCs w:val="24"/>
        </w:rPr>
      </w:pPr>
    </w:p>
    <w:p w14:paraId="42B22701" w14:textId="19FCEE0E" w:rsidR="0068714D" w:rsidRPr="0068714D" w:rsidRDefault="0068714D" w:rsidP="0068714D">
      <w:pPr>
        <w:spacing w:after="0" w:line="240" w:lineRule="auto"/>
        <w:jc w:val="both"/>
        <w:rPr>
          <w:rFonts w:ascii="Aptos" w:eastAsia="Aptos" w:hAnsi="Aptos" w:cs="Aptos"/>
          <w:color w:val="000000" w:themeColor="text1"/>
          <w:sz w:val="24"/>
          <w:szCs w:val="24"/>
        </w:rPr>
      </w:pPr>
      <w:r w:rsidRPr="0068714D">
        <w:rPr>
          <w:rFonts w:eastAsia="Aptos" w:cstheme="minorHAnsi"/>
          <w:color w:val="000000" w:themeColor="text1"/>
          <w:sz w:val="24"/>
          <w:szCs w:val="24"/>
        </w:rPr>
        <w:t xml:space="preserve">L’assemblea generale della Fieg ha, infine, espresso soddisfazione per le nomine di Carlo Perrone e di Pierpaolo </w:t>
      </w:r>
      <w:proofErr w:type="spellStart"/>
      <w:r w:rsidRPr="0068714D">
        <w:rPr>
          <w:rFonts w:eastAsia="Aptos" w:cstheme="minorHAnsi"/>
          <w:color w:val="000000" w:themeColor="text1"/>
          <w:sz w:val="24"/>
          <w:szCs w:val="24"/>
        </w:rPr>
        <w:t>Camadini</w:t>
      </w:r>
      <w:proofErr w:type="spellEnd"/>
      <w:r w:rsidRPr="0068714D">
        <w:rPr>
          <w:rFonts w:eastAsia="Aptos" w:cstheme="minorHAnsi"/>
          <w:color w:val="000000" w:themeColor="text1"/>
          <w:sz w:val="24"/>
          <w:szCs w:val="24"/>
        </w:rPr>
        <w:t xml:space="preserve">, rispettivamente a Presidente onorario e a Vicepresidente dell’ENPA, l’associazione europea degli editori di giornali, formulando loro i migliori auguri di buon lavoro, e per l’adesione alla Federazione di tre nuove imprese: </w:t>
      </w:r>
      <w:r w:rsidR="0060182E">
        <w:rPr>
          <w:rFonts w:ascii="Calibri" w:eastAsia="Aptos" w:hAnsi="Calibri" w:cs="Calibri"/>
          <w:color w:val="000000" w:themeColor="text1"/>
          <w:sz w:val="24"/>
          <w:szCs w:val="24"/>
        </w:rPr>
        <w:t xml:space="preserve">Sprea S.p.A., Open Impresa Sociale S.r.l. e G.O.L. Impresa Sociale </w:t>
      </w:r>
      <w:proofErr w:type="gramStart"/>
      <w:r w:rsidR="0060182E">
        <w:rPr>
          <w:rFonts w:ascii="Calibri" w:eastAsia="Aptos" w:hAnsi="Calibri" w:cs="Calibri"/>
          <w:color w:val="000000" w:themeColor="text1"/>
          <w:sz w:val="24"/>
          <w:szCs w:val="24"/>
        </w:rPr>
        <w:t>S.r.l..</w:t>
      </w:r>
      <w:proofErr w:type="gramEnd"/>
    </w:p>
    <w:p w14:paraId="478F2EA6" w14:textId="77777777" w:rsidR="0068714D" w:rsidRPr="0068714D" w:rsidRDefault="0068714D" w:rsidP="0068714D">
      <w:pPr>
        <w:spacing w:after="0" w:line="240" w:lineRule="auto"/>
        <w:jc w:val="both"/>
        <w:rPr>
          <w:rFonts w:ascii="Aptos" w:eastAsia="Aptos" w:hAnsi="Aptos" w:cs="Aptos"/>
          <w:color w:val="000000" w:themeColor="text1"/>
          <w:sz w:val="24"/>
          <w:szCs w:val="24"/>
        </w:rPr>
      </w:pPr>
    </w:p>
    <w:p w14:paraId="5AFD759D" w14:textId="77777777" w:rsidR="0068714D" w:rsidRPr="0068714D" w:rsidRDefault="0068714D" w:rsidP="0068714D">
      <w:pPr>
        <w:spacing w:after="0" w:line="240" w:lineRule="auto"/>
        <w:jc w:val="both"/>
        <w:rPr>
          <w:rFonts w:ascii="Aptos" w:eastAsia="Aptos" w:hAnsi="Aptos" w:cs="Aptos"/>
          <w:color w:val="000000" w:themeColor="text1"/>
          <w:sz w:val="24"/>
          <w:szCs w:val="24"/>
        </w:rPr>
      </w:pPr>
    </w:p>
    <w:p w14:paraId="2DC08235" w14:textId="0CBB618A" w:rsidR="003022EF" w:rsidRPr="0068714D" w:rsidRDefault="003022EF" w:rsidP="0068714D">
      <w:pPr>
        <w:pStyle w:val="Testonormale"/>
        <w:rPr>
          <w:rFonts w:eastAsiaTheme="minorEastAsia"/>
          <w:sz w:val="24"/>
          <w:szCs w:val="24"/>
        </w:rPr>
      </w:pPr>
    </w:p>
    <w:sectPr w:rsidR="003022EF" w:rsidRPr="0068714D">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A982D" w14:textId="77777777" w:rsidR="00B13EC3" w:rsidRDefault="00B13EC3" w:rsidP="00B13EC3">
      <w:pPr>
        <w:spacing w:after="0" w:line="240" w:lineRule="auto"/>
      </w:pPr>
      <w:r>
        <w:separator/>
      </w:r>
    </w:p>
  </w:endnote>
  <w:endnote w:type="continuationSeparator" w:id="0">
    <w:p w14:paraId="1F7FBDD4" w14:textId="77777777" w:rsidR="00B13EC3" w:rsidRDefault="00B13EC3" w:rsidP="00B13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79212" w14:textId="77777777" w:rsidR="00B13EC3" w:rsidRDefault="00B13EC3" w:rsidP="00B13EC3">
      <w:pPr>
        <w:spacing w:after="0" w:line="240" w:lineRule="auto"/>
      </w:pPr>
      <w:r>
        <w:separator/>
      </w:r>
    </w:p>
  </w:footnote>
  <w:footnote w:type="continuationSeparator" w:id="0">
    <w:p w14:paraId="4ECAD39B" w14:textId="77777777" w:rsidR="00B13EC3" w:rsidRDefault="00B13EC3" w:rsidP="00B13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5856" w14:textId="340E1390" w:rsidR="00B13EC3" w:rsidRDefault="00B13EC3" w:rsidP="00B13EC3">
    <w:pPr>
      <w:pStyle w:val="Intestazione"/>
      <w:jc w:val="center"/>
    </w:pPr>
    <w:r>
      <w:rPr>
        <w:noProof/>
      </w:rPr>
      <w:drawing>
        <wp:inline distT="0" distB="0" distL="0" distR="0" wp14:anchorId="1B1141D3" wp14:editId="1C487EFC">
          <wp:extent cx="1305180" cy="981075"/>
          <wp:effectExtent l="0" t="0" r="9525" b="0"/>
          <wp:docPr id="1775921188" name="Immagine 1775921188"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1121" cy="985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8B20F5"/>
    <w:multiLevelType w:val="hybridMultilevel"/>
    <w:tmpl w:val="FFFFFFFF"/>
    <w:lvl w:ilvl="0" w:tplc="9B4AD54C">
      <w:start w:val="1"/>
      <w:numFmt w:val="lowerLetter"/>
      <w:lvlText w:val="%1)"/>
      <w:lvlJc w:val="left"/>
      <w:pPr>
        <w:ind w:left="720" w:hanging="360"/>
      </w:pPr>
    </w:lvl>
    <w:lvl w:ilvl="1" w:tplc="5D6A2408">
      <w:start w:val="1"/>
      <w:numFmt w:val="lowerLetter"/>
      <w:lvlText w:val="%2."/>
      <w:lvlJc w:val="left"/>
      <w:pPr>
        <w:ind w:left="1440" w:hanging="360"/>
      </w:pPr>
    </w:lvl>
    <w:lvl w:ilvl="2" w:tplc="9B381B02">
      <w:start w:val="1"/>
      <w:numFmt w:val="lowerRoman"/>
      <w:lvlText w:val="%3."/>
      <w:lvlJc w:val="right"/>
      <w:pPr>
        <w:ind w:left="2160" w:hanging="180"/>
      </w:pPr>
    </w:lvl>
    <w:lvl w:ilvl="3" w:tplc="6AAE287A">
      <w:start w:val="1"/>
      <w:numFmt w:val="decimal"/>
      <w:lvlText w:val="%4."/>
      <w:lvlJc w:val="left"/>
      <w:pPr>
        <w:ind w:left="2880" w:hanging="360"/>
      </w:pPr>
    </w:lvl>
    <w:lvl w:ilvl="4" w:tplc="5CCC71A0">
      <w:start w:val="1"/>
      <w:numFmt w:val="lowerLetter"/>
      <w:lvlText w:val="%5."/>
      <w:lvlJc w:val="left"/>
      <w:pPr>
        <w:ind w:left="3600" w:hanging="360"/>
      </w:pPr>
    </w:lvl>
    <w:lvl w:ilvl="5" w:tplc="A6DCF3E0">
      <w:start w:val="1"/>
      <w:numFmt w:val="lowerRoman"/>
      <w:lvlText w:val="%6."/>
      <w:lvlJc w:val="right"/>
      <w:pPr>
        <w:ind w:left="4320" w:hanging="180"/>
      </w:pPr>
    </w:lvl>
    <w:lvl w:ilvl="6" w:tplc="6D2489A6">
      <w:start w:val="1"/>
      <w:numFmt w:val="decimal"/>
      <w:lvlText w:val="%7."/>
      <w:lvlJc w:val="left"/>
      <w:pPr>
        <w:ind w:left="5040" w:hanging="360"/>
      </w:pPr>
    </w:lvl>
    <w:lvl w:ilvl="7" w:tplc="2C5A0742">
      <w:start w:val="1"/>
      <w:numFmt w:val="lowerLetter"/>
      <w:lvlText w:val="%8."/>
      <w:lvlJc w:val="left"/>
      <w:pPr>
        <w:ind w:left="5760" w:hanging="360"/>
      </w:pPr>
    </w:lvl>
    <w:lvl w:ilvl="8" w:tplc="EEC0BF60">
      <w:start w:val="1"/>
      <w:numFmt w:val="lowerRoman"/>
      <w:lvlText w:val="%9."/>
      <w:lvlJc w:val="right"/>
      <w:pPr>
        <w:ind w:left="6480" w:hanging="180"/>
      </w:pPr>
    </w:lvl>
  </w:abstractNum>
  <w:num w:numId="1" w16cid:durableId="16049997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394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34EC796"/>
    <w:rsid w:val="000C457D"/>
    <w:rsid w:val="001A7466"/>
    <w:rsid w:val="003022EF"/>
    <w:rsid w:val="003350CC"/>
    <w:rsid w:val="003E7302"/>
    <w:rsid w:val="0060182E"/>
    <w:rsid w:val="0068714D"/>
    <w:rsid w:val="006A280E"/>
    <w:rsid w:val="006C737C"/>
    <w:rsid w:val="006D31A8"/>
    <w:rsid w:val="008767E0"/>
    <w:rsid w:val="008A0B0A"/>
    <w:rsid w:val="008A3F79"/>
    <w:rsid w:val="00975A8E"/>
    <w:rsid w:val="009B5CB2"/>
    <w:rsid w:val="00B13EC3"/>
    <w:rsid w:val="00CF2DC0"/>
    <w:rsid w:val="00EA5CA1"/>
    <w:rsid w:val="00F506B5"/>
    <w:rsid w:val="00F749FB"/>
    <w:rsid w:val="00F775F8"/>
    <w:rsid w:val="00FB0332"/>
    <w:rsid w:val="01CBC601"/>
    <w:rsid w:val="1FC31DCB"/>
    <w:rsid w:val="2223B3DD"/>
    <w:rsid w:val="29C9DA37"/>
    <w:rsid w:val="2E7D0D4A"/>
    <w:rsid w:val="3DB70401"/>
    <w:rsid w:val="434EC796"/>
    <w:rsid w:val="442C39D2"/>
    <w:rsid w:val="4679B50B"/>
    <w:rsid w:val="52AE7AC1"/>
    <w:rsid w:val="5781EBE4"/>
    <w:rsid w:val="585498F4"/>
    <w:rsid w:val="72B8793A"/>
    <w:rsid w:val="7339E0B3"/>
    <w:rsid w:val="7A0B7612"/>
    <w:rsid w:val="7ED259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EC796"/>
  <w15:chartTrackingRefBased/>
  <w15:docId w15:val="{CF71EB97-4DE4-4425-8636-36D2B0C0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13EC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13EC3"/>
  </w:style>
  <w:style w:type="paragraph" w:styleId="Pidipagina">
    <w:name w:val="footer"/>
    <w:basedOn w:val="Normale"/>
    <w:link w:val="PidipaginaCarattere"/>
    <w:uiPriority w:val="99"/>
    <w:unhideWhenUsed/>
    <w:rsid w:val="00B13EC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13EC3"/>
  </w:style>
  <w:style w:type="paragraph" w:styleId="Testonormale">
    <w:name w:val="Plain Text"/>
    <w:basedOn w:val="Normale"/>
    <w:link w:val="TestonormaleCarattere"/>
    <w:uiPriority w:val="99"/>
    <w:unhideWhenUsed/>
    <w:rsid w:val="008767E0"/>
    <w:pPr>
      <w:spacing w:after="0" w:line="240" w:lineRule="auto"/>
    </w:pPr>
    <w:rPr>
      <w:rFonts w:ascii="Calibri" w:eastAsia="Times New Roman" w:hAnsi="Calibri"/>
      <w:kern w:val="2"/>
      <w:szCs w:val="21"/>
      <w14:ligatures w14:val="standardContextual"/>
    </w:rPr>
  </w:style>
  <w:style w:type="character" w:customStyle="1" w:styleId="TestonormaleCarattere">
    <w:name w:val="Testo normale Carattere"/>
    <w:basedOn w:val="Carpredefinitoparagrafo"/>
    <w:link w:val="Testonormale"/>
    <w:uiPriority w:val="99"/>
    <w:rsid w:val="008767E0"/>
    <w:rPr>
      <w:rFonts w:ascii="Calibri" w:eastAsia="Times New Roman" w:hAnsi="Calibri"/>
      <w:kern w:val="2"/>
      <w:szCs w:val="21"/>
      <w14:ligatures w14:val="standardContextual"/>
    </w:rPr>
  </w:style>
  <w:style w:type="paragraph" w:styleId="Paragrafoelenco">
    <w:name w:val="List Paragraph"/>
    <w:basedOn w:val="Normale"/>
    <w:uiPriority w:val="34"/>
    <w:qFormat/>
    <w:rsid w:val="0068714D"/>
    <w:pPr>
      <w:spacing w:line="278"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831127">
      <w:bodyDiv w:val="1"/>
      <w:marLeft w:val="0"/>
      <w:marRight w:val="0"/>
      <w:marTop w:val="0"/>
      <w:marBottom w:val="0"/>
      <w:divBdr>
        <w:top w:val="none" w:sz="0" w:space="0" w:color="auto"/>
        <w:left w:val="none" w:sz="0" w:space="0" w:color="auto"/>
        <w:bottom w:val="none" w:sz="0" w:space="0" w:color="auto"/>
        <w:right w:val="none" w:sz="0" w:space="0" w:color="auto"/>
      </w:divBdr>
    </w:div>
    <w:div w:id="152089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Arcangelo Iannace</dc:creator>
  <cp:keywords/>
  <dc:description/>
  <cp:lastModifiedBy>Diana Daneluz</cp:lastModifiedBy>
  <cp:revision>5</cp:revision>
  <dcterms:created xsi:type="dcterms:W3CDTF">2024-06-25T07:38:00Z</dcterms:created>
  <dcterms:modified xsi:type="dcterms:W3CDTF">2024-06-25T12:50:00Z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384742991</vt:i4>
  </property>
</Properties>
</file>